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6B9B" w:rsidRDefault="002310D4" w:rsidP="002310D4">
      <w:pPr>
        <w:jc w:val="center"/>
        <w:rPr>
          <w:rFonts w:hint="eastAsia"/>
          <w:sz w:val="52"/>
          <w:szCs w:val="52"/>
        </w:rPr>
      </w:pPr>
      <w:bookmarkStart w:id="0" w:name="_GoBack"/>
      <w:r w:rsidRPr="002310D4">
        <w:rPr>
          <w:rFonts w:hint="eastAsia"/>
          <w:sz w:val="52"/>
          <w:szCs w:val="52"/>
        </w:rPr>
        <w:t>SC-45</w:t>
      </w:r>
      <w:r w:rsidRPr="002310D4">
        <w:rPr>
          <w:rFonts w:hint="eastAsia"/>
          <w:sz w:val="52"/>
          <w:szCs w:val="52"/>
        </w:rPr>
        <w:t>型标准</w:t>
      </w:r>
      <w:r w:rsidRPr="002310D4">
        <w:rPr>
          <w:rFonts w:hint="eastAsia"/>
          <w:sz w:val="52"/>
          <w:szCs w:val="52"/>
        </w:rPr>
        <w:t>COD</w:t>
      </w:r>
      <w:r w:rsidRPr="002310D4">
        <w:rPr>
          <w:rFonts w:hint="eastAsia"/>
          <w:sz w:val="52"/>
          <w:szCs w:val="52"/>
        </w:rPr>
        <w:t>回流消解器</w:t>
      </w:r>
    </w:p>
    <w:bookmarkEnd w:id="0"/>
    <w:p w:rsidR="002310D4" w:rsidRDefault="002310D4" w:rsidP="002310D4">
      <w:pPr>
        <w:jc w:val="center"/>
        <w:rPr>
          <w:rFonts w:hint="eastAsia"/>
          <w:sz w:val="52"/>
          <w:szCs w:val="52"/>
        </w:rPr>
      </w:pPr>
      <w:r>
        <w:rPr>
          <w:noProof/>
          <w:sz w:val="52"/>
          <w:szCs w:val="52"/>
        </w:rPr>
        <w:drawing>
          <wp:inline distT="0" distB="0" distL="0" distR="0">
            <wp:extent cx="4381500" cy="33337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79626341511045051740558 (1).jpg"/>
                    <pic:cNvPicPr/>
                  </pic:nvPicPr>
                  <pic:blipFill>
                    <a:blip r:embed="rId5">
                      <a:extLst>
                        <a:ext uri="{28A0092B-C50C-407E-A947-70E740481C1C}">
                          <a14:useLocalDpi xmlns:a14="http://schemas.microsoft.com/office/drawing/2010/main" val="0"/>
                        </a:ext>
                      </a:extLst>
                    </a:blip>
                    <a:stretch>
                      <a:fillRect/>
                    </a:stretch>
                  </pic:blipFill>
                  <pic:spPr>
                    <a:xfrm>
                      <a:off x="0" y="0"/>
                      <a:ext cx="4381500" cy="3333750"/>
                    </a:xfrm>
                    <a:prstGeom prst="rect">
                      <a:avLst/>
                    </a:prstGeom>
                  </pic:spPr>
                </pic:pic>
              </a:graphicData>
            </a:graphic>
          </wp:inline>
        </w:drawing>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b/>
          <w:bCs/>
          <w:color w:val="555555"/>
          <w:kern w:val="0"/>
          <w:szCs w:val="21"/>
        </w:rPr>
        <w:t>一、产品简介：</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国家标准GB11914-89分析方法规范地制定了水质化学需氧量COD（</w:t>
      </w:r>
      <w:proofErr w:type="spellStart"/>
      <w:r w:rsidRPr="002310D4">
        <w:rPr>
          <w:rFonts w:ascii="宋体" w:eastAsia="宋体" w:hAnsi="宋体" w:cs="Helvetica" w:hint="eastAsia"/>
          <w:color w:val="555555"/>
          <w:kern w:val="0"/>
          <w:szCs w:val="21"/>
        </w:rPr>
        <w:t>cr</w:t>
      </w:r>
      <w:proofErr w:type="spellEnd"/>
      <w:r w:rsidRPr="002310D4">
        <w:rPr>
          <w:rFonts w:ascii="宋体" w:eastAsia="宋体" w:hAnsi="宋体" w:cs="Helvetica" w:hint="eastAsia"/>
          <w:color w:val="555555"/>
          <w:kern w:val="0"/>
          <w:szCs w:val="21"/>
        </w:rPr>
        <w:t>）的测定步骤，严格地规定了方法的加热消解时间、溶液酸度、氧化剂和催化剂的用量等条件指标。显而易见，水质COD（</w:t>
      </w:r>
      <w:proofErr w:type="spellStart"/>
      <w:r w:rsidRPr="002310D4">
        <w:rPr>
          <w:rFonts w:ascii="宋体" w:eastAsia="宋体" w:hAnsi="宋体" w:cs="Helvetica" w:hint="eastAsia"/>
          <w:color w:val="555555"/>
          <w:kern w:val="0"/>
          <w:szCs w:val="21"/>
        </w:rPr>
        <w:t>cr</w:t>
      </w:r>
      <w:proofErr w:type="spellEnd"/>
      <w:r w:rsidRPr="002310D4">
        <w:rPr>
          <w:rFonts w:ascii="宋体" w:eastAsia="宋体" w:hAnsi="宋体" w:cs="Helvetica" w:hint="eastAsia"/>
          <w:color w:val="555555"/>
          <w:kern w:val="0"/>
          <w:szCs w:val="21"/>
        </w:rPr>
        <w:t>）的测定是有严格的条件规定，违背了条件规定进行操作，就会影响测定的准确性。</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SC-45恒温消解器采用国内先进的嵌入式黑晶加热玻璃作为其加热系统总成部分，做到真正的耐酸碱，耐腐蚀。黑晶加热玻璃升温快热能利用率高，表面各区域加热平衡，加热停止后降温速度快等优点。SC-45标准COD消解器采用玻璃毛刺回流管代替球形回流管，并以风冷技术取代自来水回流冷却方式，并在冷凝管末段以静止水辅助冷却，既可以节水又能使仪器规范化，同时还提高了仪器使用的安全性。SC-45标准COD消解器采用微机技术进行定时控制加热电炉，可对8个250ML锥形消解回流装置同时进行加热。达到节能、减低电力负荷、提GX率的目的。</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泰安首创环保设备有限公司生产的新一代消解器产品： SC-45 标准COD消解器，遵循了国际标准（ISO）和国家标准（GB11914-89）的基本原则，保证了回流加热微沸2小时的消解操作，试剂溶液的配制和加入量都和国标法一致，确保可靠JQ的分析结果。</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lastRenderedPageBreak/>
        <w:t>仪器的化学溶液配制、操作和COD的计算完全遵照GB11914-89，低于50mg/L的COD水样可通过稀释滴定剂和氧化剂来提高JQ度，高于700mg/L的COD水样，可以通过水样的比例稀释来完成测定。</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b/>
          <w:bCs/>
          <w:color w:val="555555"/>
          <w:kern w:val="0"/>
          <w:szCs w:val="21"/>
        </w:rPr>
        <w:t>二、技术规格：</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1、测量范围：0～1000mg/L、0-10000水样稀释后测定</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2、消解时间：10分钟－2小时30分钟（用户可自主选择加热时间）</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3、测量误差：邻苯二甲酸氢钾标准溶液（500mg/L）、相对标准偏差不大于5.0%</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工业有机废水（500mg/L）、相对标准偏差不大于8.0%</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4、环境温度：≤35℃</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5、消解样品数：8个（采用24#磨口的250mL锥形瓶）12个（采用24#磨口的150mL锥形瓶）</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6、加热功率：≤1600W（AC 220V，50HZ，用户可自主选择加热功率）</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7、仪器尺寸：45cm（L）* 35cm（W）*65cm（H）</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b/>
          <w:bCs/>
          <w:color w:val="555555"/>
          <w:kern w:val="0"/>
          <w:szCs w:val="21"/>
        </w:rPr>
        <w:t>三、性能特点：</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1、平板电炉盘的波浪带状电热丝为新型稀土合金材料，其寿命极长。电炉盘表面覆盖可耐800℃高温玻璃面板，加热时电炉表面发热均匀，升温、降温速度快。</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2、电炉盘使用新型的耐高温无机环保隔热材料，底板和周边的热损失小，受热、导热均匀，热效率更高。</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3、</w:t>
      </w:r>
      <w:proofErr w:type="gramStart"/>
      <w:r w:rsidRPr="002310D4">
        <w:rPr>
          <w:rFonts w:ascii="宋体" w:eastAsia="宋体" w:hAnsi="宋体" w:cs="Helvetica" w:hint="eastAsia"/>
          <w:color w:val="555555"/>
          <w:kern w:val="0"/>
          <w:szCs w:val="21"/>
        </w:rPr>
        <w:t>平板电炉盘耐高温</w:t>
      </w:r>
      <w:proofErr w:type="gramEnd"/>
      <w:r w:rsidRPr="002310D4">
        <w:rPr>
          <w:rFonts w:ascii="宋体" w:eastAsia="宋体" w:hAnsi="宋体" w:cs="Helvetica" w:hint="eastAsia"/>
          <w:color w:val="555555"/>
          <w:kern w:val="0"/>
          <w:szCs w:val="21"/>
        </w:rPr>
        <w:t>玻璃面板平整、光滑、易清洗；如表面</w:t>
      </w:r>
      <w:proofErr w:type="gramStart"/>
      <w:r w:rsidRPr="002310D4">
        <w:rPr>
          <w:rFonts w:ascii="宋体" w:eastAsia="宋体" w:hAnsi="宋体" w:cs="Helvetica" w:hint="eastAsia"/>
          <w:color w:val="555555"/>
          <w:kern w:val="0"/>
          <w:szCs w:val="21"/>
        </w:rPr>
        <w:t>沾污</w:t>
      </w:r>
      <w:proofErr w:type="gramEnd"/>
      <w:r w:rsidRPr="002310D4">
        <w:rPr>
          <w:rFonts w:ascii="宋体" w:eastAsia="宋体" w:hAnsi="宋体" w:cs="Helvetica" w:hint="eastAsia"/>
          <w:color w:val="555555"/>
          <w:kern w:val="0"/>
          <w:szCs w:val="21"/>
        </w:rPr>
        <w:t>，用布擦干即可，可减少操作不当对仪器的损坏。</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4、改进型的玻璃毛刺回流管和散热系统，其良好的消解回流效果确保样品消解结果的平行性和准确性。</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5、对应用户选择的不同加热功率，可显示电炉表面加热温度。</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6、可以设定消解时间，消解完毕后，仪器自动停止加热，仪器风机继续工作半小时，辅助样品冷却，可无人看管。</w:t>
      </w:r>
    </w:p>
    <w:p w:rsidR="002310D4" w:rsidRPr="002310D4" w:rsidRDefault="002310D4" w:rsidP="002310D4">
      <w:pPr>
        <w:widowControl/>
        <w:wordWrap w:val="0"/>
        <w:spacing w:line="360" w:lineRule="auto"/>
        <w:jc w:val="left"/>
        <w:rPr>
          <w:rFonts w:ascii="Helvetica" w:eastAsia="宋体" w:hAnsi="Helvetica" w:cs="Helvetica"/>
          <w:color w:val="555555"/>
          <w:kern w:val="0"/>
          <w:szCs w:val="21"/>
        </w:rPr>
      </w:pPr>
      <w:r w:rsidRPr="002310D4">
        <w:rPr>
          <w:rFonts w:ascii="宋体" w:eastAsia="宋体" w:hAnsi="宋体" w:cs="Helvetica" w:hint="eastAsia"/>
          <w:color w:val="555555"/>
          <w:kern w:val="0"/>
          <w:szCs w:val="21"/>
        </w:rPr>
        <w:t>7、节电、节水，安全可靠，提高了操作人员的工作效率。</w:t>
      </w:r>
    </w:p>
    <w:p w:rsidR="002310D4" w:rsidRPr="002310D4" w:rsidRDefault="002310D4" w:rsidP="002310D4">
      <w:pPr>
        <w:rPr>
          <w:sz w:val="52"/>
          <w:szCs w:val="52"/>
        </w:rPr>
      </w:pPr>
    </w:p>
    <w:sectPr w:rsidR="002310D4" w:rsidRPr="002310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5598"/>
    <w:rsid w:val="002310D4"/>
    <w:rsid w:val="00575E35"/>
    <w:rsid w:val="00985598"/>
    <w:rsid w:val="00BF6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75E3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75E35"/>
    <w:rPr>
      <w:rFonts w:ascii="宋体" w:eastAsia="宋体" w:hAnsi="宋体" w:cs="宋体"/>
      <w:b/>
      <w:bCs/>
      <w:kern w:val="36"/>
      <w:sz w:val="48"/>
      <w:szCs w:val="48"/>
    </w:rPr>
  </w:style>
  <w:style w:type="paragraph" w:styleId="a3">
    <w:name w:val="Balloon Text"/>
    <w:basedOn w:val="a"/>
    <w:link w:val="Char"/>
    <w:uiPriority w:val="99"/>
    <w:semiHidden/>
    <w:unhideWhenUsed/>
    <w:rsid w:val="00575E35"/>
    <w:rPr>
      <w:sz w:val="18"/>
      <w:szCs w:val="18"/>
    </w:rPr>
  </w:style>
  <w:style w:type="character" w:customStyle="1" w:styleId="Char">
    <w:name w:val="批注框文本 Char"/>
    <w:basedOn w:val="a0"/>
    <w:link w:val="a3"/>
    <w:uiPriority w:val="99"/>
    <w:semiHidden/>
    <w:rsid w:val="00575E35"/>
    <w:rPr>
      <w:sz w:val="18"/>
      <w:szCs w:val="18"/>
    </w:rPr>
  </w:style>
  <w:style w:type="paragraph" w:styleId="a4">
    <w:name w:val="Normal (Web)"/>
    <w:basedOn w:val="a"/>
    <w:uiPriority w:val="99"/>
    <w:semiHidden/>
    <w:unhideWhenUsed/>
    <w:rsid w:val="00575E3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575E3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575E3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75E35"/>
    <w:rPr>
      <w:rFonts w:ascii="宋体" w:eastAsia="宋体" w:hAnsi="宋体" w:cs="宋体"/>
      <w:b/>
      <w:bCs/>
      <w:kern w:val="36"/>
      <w:sz w:val="48"/>
      <w:szCs w:val="48"/>
    </w:rPr>
  </w:style>
  <w:style w:type="paragraph" w:styleId="a3">
    <w:name w:val="Balloon Text"/>
    <w:basedOn w:val="a"/>
    <w:link w:val="Char"/>
    <w:uiPriority w:val="99"/>
    <w:semiHidden/>
    <w:unhideWhenUsed/>
    <w:rsid w:val="00575E35"/>
    <w:rPr>
      <w:sz w:val="18"/>
      <w:szCs w:val="18"/>
    </w:rPr>
  </w:style>
  <w:style w:type="character" w:customStyle="1" w:styleId="Char">
    <w:name w:val="批注框文本 Char"/>
    <w:basedOn w:val="a0"/>
    <w:link w:val="a3"/>
    <w:uiPriority w:val="99"/>
    <w:semiHidden/>
    <w:rsid w:val="00575E35"/>
    <w:rPr>
      <w:sz w:val="18"/>
      <w:szCs w:val="18"/>
    </w:rPr>
  </w:style>
  <w:style w:type="paragraph" w:styleId="a4">
    <w:name w:val="Normal (Web)"/>
    <w:basedOn w:val="a"/>
    <w:uiPriority w:val="99"/>
    <w:semiHidden/>
    <w:unhideWhenUsed/>
    <w:rsid w:val="00575E3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575E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385398">
      <w:bodyDiv w:val="1"/>
      <w:marLeft w:val="0"/>
      <w:marRight w:val="0"/>
      <w:marTop w:val="0"/>
      <w:marBottom w:val="0"/>
      <w:divBdr>
        <w:top w:val="none" w:sz="0" w:space="0" w:color="auto"/>
        <w:left w:val="none" w:sz="0" w:space="0" w:color="auto"/>
        <w:bottom w:val="none" w:sz="0" w:space="0" w:color="auto"/>
        <w:right w:val="none" w:sz="0" w:space="0" w:color="auto"/>
      </w:divBdr>
    </w:div>
    <w:div w:id="633559672">
      <w:bodyDiv w:val="1"/>
      <w:marLeft w:val="0"/>
      <w:marRight w:val="0"/>
      <w:marTop w:val="0"/>
      <w:marBottom w:val="0"/>
      <w:divBdr>
        <w:top w:val="none" w:sz="0" w:space="0" w:color="auto"/>
        <w:left w:val="none" w:sz="0" w:space="0" w:color="auto"/>
        <w:bottom w:val="none" w:sz="0" w:space="0" w:color="auto"/>
        <w:right w:val="none" w:sz="0" w:space="0" w:color="auto"/>
      </w:divBdr>
    </w:div>
    <w:div w:id="1064525278">
      <w:bodyDiv w:val="1"/>
      <w:marLeft w:val="0"/>
      <w:marRight w:val="0"/>
      <w:marTop w:val="0"/>
      <w:marBottom w:val="0"/>
      <w:divBdr>
        <w:top w:val="none" w:sz="0" w:space="0" w:color="auto"/>
        <w:left w:val="none" w:sz="0" w:space="0" w:color="auto"/>
        <w:bottom w:val="none" w:sz="0" w:space="0" w:color="auto"/>
        <w:right w:val="none" w:sz="0" w:space="0" w:color="auto"/>
      </w:divBdr>
    </w:div>
    <w:div w:id="185429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188</Words>
  <Characters>1075</Characters>
  <Application>Microsoft Office Word</Application>
  <DocSecurity>0</DocSecurity>
  <Lines>8</Lines>
  <Paragraphs>2</Paragraphs>
  <ScaleCrop>false</ScaleCrop>
  <Company/>
  <LinksUpToDate>false</LinksUpToDate>
  <CharactersWithSpaces>1261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2025-01-03T01:04:00Z</dcterms:created>
  <dcterms:modified xsi:type="dcterms:W3CDTF">2025-01-03T01:16:00Z</dcterms:modified>
</cp:coreProperties>
</file>